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D2" w:rsidRPr="0079681D" w:rsidRDefault="00293BD2" w:rsidP="0079681D">
      <w:pPr>
        <w:autoSpaceDE w:val="0"/>
        <w:autoSpaceDN w:val="0"/>
        <w:adjustRightInd w:val="0"/>
        <w:spacing w:after="0" w:line="3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9681D">
        <w:rPr>
          <w:rFonts w:ascii="Times New Roman" w:hAnsi="Times New Roman" w:cs="Times New Roman"/>
          <w:sz w:val="24"/>
          <w:szCs w:val="24"/>
        </w:rPr>
        <w:t xml:space="preserve">Warszawa, </w:t>
      </w:r>
      <w:r w:rsidR="00362133" w:rsidRPr="0079681D">
        <w:rPr>
          <w:rFonts w:ascii="Times New Roman" w:hAnsi="Times New Roman" w:cs="Times New Roman"/>
          <w:sz w:val="24"/>
          <w:szCs w:val="24"/>
        </w:rPr>
        <w:t>4 czerwca</w:t>
      </w:r>
      <w:r w:rsidRPr="0079681D">
        <w:rPr>
          <w:rFonts w:ascii="Times New Roman" w:hAnsi="Times New Roman" w:cs="Times New Roman"/>
          <w:sz w:val="24"/>
          <w:szCs w:val="24"/>
        </w:rPr>
        <w:t xml:space="preserve"> 201</w:t>
      </w:r>
      <w:r w:rsidR="00362133" w:rsidRPr="0079681D">
        <w:rPr>
          <w:rFonts w:ascii="Times New Roman" w:hAnsi="Times New Roman" w:cs="Times New Roman"/>
          <w:sz w:val="24"/>
          <w:szCs w:val="24"/>
        </w:rPr>
        <w:t>4</w:t>
      </w:r>
      <w:r w:rsidRPr="0079681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D4E5C" w:rsidRPr="0079681D" w:rsidRDefault="002D4E5C" w:rsidP="0079681D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362133" w:rsidRPr="0079681D" w:rsidRDefault="00293BD2" w:rsidP="0079681D">
      <w:pPr>
        <w:autoSpaceDE w:val="0"/>
        <w:autoSpaceDN w:val="0"/>
        <w:adjustRightInd w:val="0"/>
        <w:spacing w:after="0" w:line="340" w:lineRule="exact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79681D">
        <w:rPr>
          <w:rFonts w:ascii="Times New Roman" w:hAnsi="Times New Roman" w:cs="Times New Roman"/>
          <w:b/>
          <w:sz w:val="24"/>
          <w:szCs w:val="24"/>
        </w:rPr>
        <w:t xml:space="preserve">Sąd </w:t>
      </w:r>
      <w:r w:rsidR="00362133" w:rsidRPr="0079681D">
        <w:rPr>
          <w:rFonts w:ascii="Times New Roman" w:hAnsi="Times New Roman" w:cs="Times New Roman"/>
          <w:b/>
          <w:sz w:val="24"/>
          <w:szCs w:val="24"/>
        </w:rPr>
        <w:t>Okręgowy w Warszawie</w:t>
      </w:r>
    </w:p>
    <w:p w:rsidR="00362133" w:rsidRPr="0079681D" w:rsidRDefault="00362133" w:rsidP="0079681D">
      <w:pPr>
        <w:autoSpaceDE w:val="0"/>
        <w:autoSpaceDN w:val="0"/>
        <w:adjustRightInd w:val="0"/>
        <w:spacing w:after="0" w:line="340" w:lineRule="exact"/>
        <w:ind w:left="4820"/>
        <w:rPr>
          <w:rFonts w:ascii="Times New Roman" w:hAnsi="Times New Roman" w:cs="Times New Roman"/>
          <w:b/>
          <w:iCs/>
          <w:sz w:val="24"/>
          <w:szCs w:val="24"/>
        </w:rPr>
      </w:pPr>
      <w:r w:rsidRPr="0079681D">
        <w:rPr>
          <w:rFonts w:ascii="Times New Roman" w:hAnsi="Times New Roman" w:cs="Times New Roman"/>
          <w:b/>
          <w:iCs/>
          <w:sz w:val="24"/>
          <w:szCs w:val="24"/>
        </w:rPr>
        <w:t xml:space="preserve">XVII Wydział </w:t>
      </w:r>
      <w:r w:rsidRPr="0079681D">
        <w:rPr>
          <w:rFonts w:ascii="Times New Roman" w:hAnsi="Times New Roman" w:cs="Times New Roman"/>
          <w:b/>
          <w:iCs/>
          <w:sz w:val="24"/>
          <w:szCs w:val="24"/>
        </w:rPr>
        <w:t xml:space="preserve">Sądu </w:t>
      </w:r>
      <w:r w:rsidRPr="0079681D">
        <w:rPr>
          <w:rFonts w:ascii="Times New Roman" w:hAnsi="Times New Roman" w:cs="Times New Roman"/>
          <w:b/>
          <w:iCs/>
          <w:sz w:val="24"/>
          <w:szCs w:val="24"/>
        </w:rPr>
        <w:t>Ochrony Konkurencji i Konsumentów</w:t>
      </w:r>
    </w:p>
    <w:p w:rsidR="00362133" w:rsidRPr="0079681D" w:rsidRDefault="00362133" w:rsidP="0079681D">
      <w:pPr>
        <w:autoSpaceDE w:val="0"/>
        <w:autoSpaceDN w:val="0"/>
        <w:adjustRightInd w:val="0"/>
        <w:spacing w:after="0" w:line="340" w:lineRule="exact"/>
        <w:ind w:left="4820"/>
        <w:rPr>
          <w:rFonts w:ascii="Times New Roman" w:hAnsi="Times New Roman" w:cs="Times New Roman"/>
          <w:b/>
          <w:iCs/>
          <w:sz w:val="24"/>
          <w:szCs w:val="24"/>
        </w:rPr>
      </w:pPr>
      <w:r w:rsidRPr="0079681D">
        <w:rPr>
          <w:rFonts w:ascii="Times New Roman" w:hAnsi="Times New Roman" w:cs="Times New Roman"/>
          <w:b/>
          <w:iCs/>
          <w:sz w:val="24"/>
          <w:szCs w:val="24"/>
        </w:rPr>
        <w:t>ul. Czerniakowska 100</w:t>
      </w:r>
    </w:p>
    <w:p w:rsidR="00362133" w:rsidRPr="0079681D" w:rsidRDefault="00362133" w:rsidP="0079681D">
      <w:pPr>
        <w:autoSpaceDE w:val="0"/>
        <w:autoSpaceDN w:val="0"/>
        <w:adjustRightInd w:val="0"/>
        <w:spacing w:after="0" w:line="340" w:lineRule="exact"/>
        <w:ind w:left="4820"/>
        <w:rPr>
          <w:rFonts w:ascii="Times New Roman" w:hAnsi="Times New Roman" w:cs="Times New Roman"/>
          <w:b/>
          <w:iCs/>
          <w:sz w:val="24"/>
          <w:szCs w:val="24"/>
        </w:rPr>
      </w:pPr>
      <w:r w:rsidRPr="0079681D">
        <w:rPr>
          <w:rFonts w:ascii="Times New Roman" w:hAnsi="Times New Roman" w:cs="Times New Roman"/>
          <w:b/>
          <w:iCs/>
          <w:sz w:val="24"/>
          <w:szCs w:val="24"/>
        </w:rPr>
        <w:t>00-454 Warszawa</w:t>
      </w:r>
    </w:p>
    <w:p w:rsidR="002D4E5C" w:rsidRPr="0079681D" w:rsidRDefault="002D4E5C" w:rsidP="0079681D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293BD2" w:rsidRPr="0079681D" w:rsidRDefault="00293BD2" w:rsidP="0079681D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  <w:r w:rsidRPr="0079681D">
        <w:rPr>
          <w:rFonts w:ascii="Times New Roman" w:hAnsi="Times New Roman" w:cs="Times New Roman"/>
          <w:b/>
          <w:sz w:val="24"/>
          <w:szCs w:val="24"/>
        </w:rPr>
        <w:t xml:space="preserve">Powód: </w:t>
      </w:r>
    </w:p>
    <w:p w:rsidR="00293BD2" w:rsidRPr="0079681D" w:rsidRDefault="00293BD2" w:rsidP="0079681D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79681D">
        <w:rPr>
          <w:rFonts w:ascii="Times New Roman" w:hAnsi="Times New Roman" w:cs="Times New Roman"/>
          <w:sz w:val="24"/>
          <w:szCs w:val="24"/>
        </w:rPr>
        <w:t>Marek Kowalski</w:t>
      </w:r>
    </w:p>
    <w:p w:rsidR="00293BD2" w:rsidRPr="0079681D" w:rsidRDefault="00293BD2" w:rsidP="0079681D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79681D">
        <w:rPr>
          <w:rFonts w:ascii="Times New Roman" w:hAnsi="Times New Roman" w:cs="Times New Roman"/>
          <w:sz w:val="24"/>
          <w:szCs w:val="24"/>
        </w:rPr>
        <w:t xml:space="preserve">ul. Elbląska 1/15, 01-747 </w:t>
      </w:r>
      <w:r w:rsidR="00D27FF6" w:rsidRPr="0079681D">
        <w:rPr>
          <w:rFonts w:ascii="Times New Roman" w:hAnsi="Times New Roman" w:cs="Times New Roman"/>
          <w:sz w:val="24"/>
          <w:szCs w:val="24"/>
        </w:rPr>
        <w:t>Warszawa</w:t>
      </w:r>
    </w:p>
    <w:p w:rsidR="00293BD2" w:rsidRPr="0079681D" w:rsidRDefault="007D0C40" w:rsidP="0079681D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79681D">
        <w:rPr>
          <w:rFonts w:ascii="Times New Roman" w:hAnsi="Times New Roman" w:cs="Times New Roman"/>
          <w:sz w:val="24"/>
          <w:szCs w:val="24"/>
        </w:rPr>
        <w:t>PESEL: 81031387283</w:t>
      </w:r>
    </w:p>
    <w:p w:rsidR="007D0C40" w:rsidRPr="0079681D" w:rsidRDefault="007D0C40" w:rsidP="0079681D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293BD2" w:rsidRPr="0079681D" w:rsidRDefault="00293BD2" w:rsidP="0079681D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  <w:r w:rsidRPr="0079681D">
        <w:rPr>
          <w:rFonts w:ascii="Times New Roman" w:hAnsi="Times New Roman" w:cs="Times New Roman"/>
          <w:b/>
          <w:sz w:val="24"/>
          <w:szCs w:val="24"/>
        </w:rPr>
        <w:t>Pozwany:</w:t>
      </w:r>
    </w:p>
    <w:p w:rsidR="00293BD2" w:rsidRPr="0079681D" w:rsidRDefault="00293BD2" w:rsidP="0079681D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79681D">
        <w:rPr>
          <w:rFonts w:ascii="Times New Roman" w:hAnsi="Times New Roman" w:cs="Times New Roman"/>
          <w:sz w:val="24"/>
          <w:szCs w:val="24"/>
        </w:rPr>
        <w:t xml:space="preserve">Towarzystwo Ubezpieczeń </w:t>
      </w:r>
      <w:r w:rsidR="008A7CBE">
        <w:rPr>
          <w:rFonts w:ascii="Times New Roman" w:hAnsi="Times New Roman" w:cs="Times New Roman"/>
          <w:sz w:val="24"/>
          <w:szCs w:val="24"/>
        </w:rPr>
        <w:t xml:space="preserve">na Życie </w:t>
      </w:r>
      <w:r w:rsidRPr="0079681D">
        <w:rPr>
          <w:rFonts w:ascii="Times New Roman" w:hAnsi="Times New Roman" w:cs="Times New Roman"/>
          <w:sz w:val="24"/>
          <w:szCs w:val="24"/>
        </w:rPr>
        <w:t>POMOC</w:t>
      </w:r>
      <w:r w:rsidR="00362133" w:rsidRPr="0079681D">
        <w:rPr>
          <w:rFonts w:ascii="Times New Roman" w:hAnsi="Times New Roman" w:cs="Times New Roman"/>
          <w:sz w:val="24"/>
          <w:szCs w:val="24"/>
        </w:rPr>
        <w:t xml:space="preserve"> </w:t>
      </w:r>
      <w:r w:rsidRPr="0079681D">
        <w:rPr>
          <w:rFonts w:ascii="Times New Roman" w:hAnsi="Times New Roman" w:cs="Times New Roman"/>
          <w:sz w:val="24"/>
          <w:szCs w:val="24"/>
        </w:rPr>
        <w:t>S.A. w Warszawie</w:t>
      </w:r>
    </w:p>
    <w:p w:rsidR="00293BD2" w:rsidRPr="0079681D" w:rsidRDefault="00293BD2" w:rsidP="0079681D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79681D">
        <w:rPr>
          <w:rFonts w:ascii="Times New Roman" w:hAnsi="Times New Roman" w:cs="Times New Roman"/>
          <w:sz w:val="24"/>
          <w:szCs w:val="24"/>
        </w:rPr>
        <w:t>ul. Dziennikarska 100, 01-605 Warszawa</w:t>
      </w:r>
    </w:p>
    <w:p w:rsidR="002D4E5C" w:rsidRPr="0079681D" w:rsidRDefault="002D4E5C" w:rsidP="0079681D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293BD2" w:rsidRPr="0079681D" w:rsidRDefault="000F76FC" w:rsidP="0079681D">
      <w:pPr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81D">
        <w:rPr>
          <w:rFonts w:ascii="Times New Roman" w:hAnsi="Times New Roman" w:cs="Times New Roman"/>
          <w:b/>
          <w:sz w:val="24"/>
          <w:szCs w:val="24"/>
        </w:rPr>
        <w:t>P</w:t>
      </w:r>
      <w:r w:rsidR="00362133" w:rsidRPr="0079681D">
        <w:rPr>
          <w:rFonts w:ascii="Times New Roman" w:hAnsi="Times New Roman" w:cs="Times New Roman"/>
          <w:b/>
          <w:sz w:val="24"/>
          <w:szCs w:val="24"/>
        </w:rPr>
        <w:t>ozew o uznanie postanowień wzorca umowy za niedozwolone</w:t>
      </w:r>
    </w:p>
    <w:p w:rsidR="002D4E5C" w:rsidRPr="0079681D" w:rsidRDefault="002D4E5C" w:rsidP="0079681D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E34E1F" w:rsidRPr="0079681D" w:rsidRDefault="00293BD2" w:rsidP="0079681D">
      <w:pPr>
        <w:autoSpaceDE w:val="0"/>
        <w:autoSpaceDN w:val="0"/>
        <w:adjustRightInd w:val="0"/>
        <w:spacing w:after="0"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81D">
        <w:rPr>
          <w:rFonts w:ascii="Times New Roman" w:hAnsi="Times New Roman" w:cs="Times New Roman"/>
          <w:sz w:val="24"/>
          <w:szCs w:val="24"/>
        </w:rPr>
        <w:t>Dział</w:t>
      </w:r>
      <w:r w:rsidR="00362133" w:rsidRPr="0079681D">
        <w:rPr>
          <w:rFonts w:ascii="Times New Roman" w:hAnsi="Times New Roman" w:cs="Times New Roman"/>
          <w:sz w:val="24"/>
          <w:szCs w:val="24"/>
        </w:rPr>
        <w:t xml:space="preserve">ając w imieniu własnym wnoszę </w:t>
      </w:r>
      <w:r w:rsidR="00362133" w:rsidRPr="0079681D">
        <w:rPr>
          <w:rFonts w:ascii="Times New Roman" w:hAnsi="Times New Roman" w:cs="Times New Roman"/>
          <w:iCs/>
          <w:sz w:val="24"/>
          <w:szCs w:val="24"/>
        </w:rPr>
        <w:t>na podstawie art. 479</w:t>
      </w:r>
      <w:r w:rsidR="00362133" w:rsidRPr="0079681D">
        <w:rPr>
          <w:rFonts w:ascii="Times New Roman" w:hAnsi="Times New Roman" w:cs="Times New Roman"/>
          <w:iCs/>
          <w:sz w:val="24"/>
          <w:szCs w:val="24"/>
          <w:vertAlign w:val="superscript"/>
        </w:rPr>
        <w:t>38</w:t>
      </w:r>
      <w:r w:rsidR="00362133" w:rsidRPr="0079681D">
        <w:rPr>
          <w:rFonts w:ascii="Times New Roman" w:hAnsi="Times New Roman" w:cs="Times New Roman"/>
          <w:iCs/>
          <w:sz w:val="24"/>
          <w:szCs w:val="24"/>
        </w:rPr>
        <w:t xml:space="preserve"> § 1 </w:t>
      </w:r>
      <w:r w:rsidR="00362133" w:rsidRPr="0079681D">
        <w:rPr>
          <w:rFonts w:ascii="Times New Roman" w:hAnsi="Times New Roman" w:cs="Times New Roman"/>
          <w:iCs/>
          <w:sz w:val="24"/>
          <w:szCs w:val="24"/>
        </w:rPr>
        <w:t>k</w:t>
      </w:r>
      <w:r w:rsidR="00362133" w:rsidRPr="0079681D">
        <w:rPr>
          <w:rFonts w:ascii="Times New Roman" w:hAnsi="Times New Roman" w:cs="Times New Roman"/>
          <w:iCs/>
          <w:sz w:val="24"/>
          <w:szCs w:val="24"/>
        </w:rPr>
        <w:t>.</w:t>
      </w:r>
      <w:r w:rsidR="00362133" w:rsidRPr="0079681D">
        <w:rPr>
          <w:rFonts w:ascii="Times New Roman" w:hAnsi="Times New Roman" w:cs="Times New Roman"/>
          <w:iCs/>
          <w:sz w:val="24"/>
          <w:szCs w:val="24"/>
        </w:rPr>
        <w:t>p</w:t>
      </w:r>
      <w:r w:rsidR="00362133" w:rsidRPr="0079681D">
        <w:rPr>
          <w:rFonts w:ascii="Times New Roman" w:hAnsi="Times New Roman" w:cs="Times New Roman"/>
          <w:iCs/>
          <w:sz w:val="24"/>
          <w:szCs w:val="24"/>
        </w:rPr>
        <w:t>.</w:t>
      </w:r>
      <w:r w:rsidR="00362133" w:rsidRPr="0079681D">
        <w:rPr>
          <w:rFonts w:ascii="Times New Roman" w:hAnsi="Times New Roman" w:cs="Times New Roman"/>
          <w:iCs/>
          <w:sz w:val="24"/>
          <w:szCs w:val="24"/>
        </w:rPr>
        <w:t>c</w:t>
      </w:r>
      <w:r w:rsidR="00362133" w:rsidRPr="0079681D">
        <w:rPr>
          <w:rFonts w:ascii="Times New Roman" w:hAnsi="Times New Roman" w:cs="Times New Roman"/>
          <w:iCs/>
          <w:sz w:val="24"/>
          <w:szCs w:val="24"/>
        </w:rPr>
        <w:t>.</w:t>
      </w:r>
      <w:r w:rsidR="00362133" w:rsidRPr="0079681D">
        <w:rPr>
          <w:rFonts w:ascii="Times New Roman" w:hAnsi="Times New Roman" w:cs="Times New Roman"/>
          <w:iCs/>
          <w:sz w:val="24"/>
          <w:szCs w:val="24"/>
        </w:rPr>
        <w:t xml:space="preserve"> o uznanie </w:t>
      </w:r>
      <w:r w:rsidR="00E34E1F" w:rsidRPr="0079681D">
        <w:rPr>
          <w:rFonts w:ascii="Times New Roman" w:hAnsi="Times New Roman" w:cs="Times New Roman"/>
          <w:iCs/>
          <w:sz w:val="24"/>
          <w:szCs w:val="24"/>
        </w:rPr>
        <w:t>p</w:t>
      </w:r>
      <w:r w:rsidR="00E34E1F" w:rsidRPr="0079681D">
        <w:rPr>
          <w:rFonts w:ascii="Times New Roman" w:hAnsi="Times New Roman" w:cs="Times New Roman"/>
          <w:sz w:val="24"/>
          <w:szCs w:val="24"/>
        </w:rPr>
        <w:t>ostanow</w:t>
      </w:r>
      <w:r w:rsidR="002D4E5C" w:rsidRPr="0079681D">
        <w:rPr>
          <w:rFonts w:ascii="Times New Roman" w:hAnsi="Times New Roman" w:cs="Times New Roman"/>
          <w:sz w:val="24"/>
          <w:szCs w:val="24"/>
        </w:rPr>
        <w:t>ienia wzorca umowy zawartego w „</w:t>
      </w:r>
      <w:r w:rsidR="00E34E1F" w:rsidRPr="0079681D">
        <w:rPr>
          <w:rFonts w:ascii="Times New Roman" w:hAnsi="Times New Roman" w:cs="Times New Roman"/>
          <w:sz w:val="24"/>
          <w:szCs w:val="24"/>
        </w:rPr>
        <w:t>Tabeli opłat i kosztów</w:t>
      </w:r>
      <w:r w:rsidR="002D4E5C" w:rsidRPr="0079681D">
        <w:rPr>
          <w:rFonts w:ascii="Times New Roman" w:hAnsi="Times New Roman" w:cs="Times New Roman"/>
          <w:sz w:val="24"/>
          <w:szCs w:val="24"/>
        </w:rPr>
        <w:t xml:space="preserve">” </w:t>
      </w:r>
      <w:r w:rsidR="00E34E1F" w:rsidRPr="0079681D">
        <w:rPr>
          <w:rFonts w:ascii="Times New Roman" w:hAnsi="Times New Roman" w:cs="Times New Roman"/>
          <w:sz w:val="24"/>
          <w:szCs w:val="24"/>
        </w:rPr>
        <w:t xml:space="preserve">stanowiącej załącznik </w:t>
      </w:r>
      <w:r w:rsidR="002D4E5C" w:rsidRPr="0079681D">
        <w:rPr>
          <w:rFonts w:ascii="Times New Roman" w:hAnsi="Times New Roman" w:cs="Times New Roman"/>
          <w:sz w:val="24"/>
          <w:szCs w:val="24"/>
        </w:rPr>
        <w:br/>
      </w:r>
      <w:r w:rsidR="00E34E1F" w:rsidRPr="0079681D">
        <w:rPr>
          <w:rFonts w:ascii="Times New Roman" w:hAnsi="Times New Roman" w:cs="Times New Roman"/>
          <w:sz w:val="24"/>
          <w:szCs w:val="24"/>
        </w:rPr>
        <w:t xml:space="preserve">do </w:t>
      </w:r>
      <w:r w:rsidR="002D4E5C" w:rsidRPr="0079681D">
        <w:rPr>
          <w:rFonts w:ascii="Times New Roman" w:hAnsi="Times New Roman" w:cs="Times New Roman"/>
          <w:sz w:val="24"/>
          <w:szCs w:val="24"/>
        </w:rPr>
        <w:t>„</w:t>
      </w:r>
      <w:r w:rsidR="00E34E1F" w:rsidRPr="0079681D">
        <w:rPr>
          <w:rFonts w:ascii="Times New Roman" w:hAnsi="Times New Roman" w:cs="Times New Roman"/>
          <w:sz w:val="24"/>
          <w:szCs w:val="24"/>
        </w:rPr>
        <w:t>Ogólnych warunków ubezpieczenia na życie z ubezpieczeniowym funduszem kapitałowym</w:t>
      </w:r>
      <w:r w:rsidR="00E34E1F" w:rsidRPr="0079681D">
        <w:rPr>
          <w:rFonts w:ascii="Times New Roman" w:hAnsi="Times New Roman" w:cs="Times New Roman"/>
          <w:sz w:val="24"/>
          <w:szCs w:val="24"/>
        </w:rPr>
        <w:t xml:space="preserve"> </w:t>
      </w:r>
      <w:r w:rsidR="00E34E1F" w:rsidRPr="0079681D">
        <w:rPr>
          <w:rFonts w:ascii="Times New Roman" w:hAnsi="Times New Roman" w:cs="Times New Roman"/>
          <w:sz w:val="24"/>
          <w:szCs w:val="24"/>
        </w:rPr>
        <w:t>Bezpieczna i dostatnia przyszłość”</w:t>
      </w:r>
      <w:r w:rsidR="002D4E5C" w:rsidRPr="0079681D">
        <w:rPr>
          <w:rFonts w:ascii="Times New Roman" w:hAnsi="Times New Roman" w:cs="Times New Roman"/>
          <w:sz w:val="24"/>
          <w:szCs w:val="24"/>
        </w:rPr>
        <w:t>,</w:t>
      </w:r>
      <w:r w:rsidR="00E34E1F" w:rsidRPr="0079681D">
        <w:rPr>
          <w:rFonts w:ascii="Times New Roman" w:hAnsi="Times New Roman" w:cs="Times New Roman"/>
          <w:sz w:val="24"/>
          <w:szCs w:val="24"/>
        </w:rPr>
        <w:t xml:space="preserve"> </w:t>
      </w:r>
      <w:r w:rsidR="00E34E1F" w:rsidRPr="0079681D">
        <w:rPr>
          <w:rFonts w:ascii="Times New Roman" w:hAnsi="Times New Roman" w:cs="Times New Roman"/>
          <w:sz w:val="24"/>
          <w:szCs w:val="24"/>
        </w:rPr>
        <w:t>zatwierdzon</w:t>
      </w:r>
      <w:r w:rsidR="00E34E1F" w:rsidRPr="0079681D">
        <w:rPr>
          <w:rFonts w:ascii="Times New Roman" w:hAnsi="Times New Roman" w:cs="Times New Roman"/>
          <w:sz w:val="24"/>
          <w:szCs w:val="24"/>
        </w:rPr>
        <w:t>ych</w:t>
      </w:r>
      <w:r w:rsidR="00E34E1F" w:rsidRPr="0079681D">
        <w:rPr>
          <w:rFonts w:ascii="Times New Roman" w:hAnsi="Times New Roman" w:cs="Times New Roman"/>
          <w:sz w:val="24"/>
          <w:szCs w:val="24"/>
        </w:rPr>
        <w:t xml:space="preserve"> uchwałą Zarządu Towarzystwa Ubezpieczeń</w:t>
      </w:r>
      <w:r w:rsidR="008A7CBE">
        <w:rPr>
          <w:rFonts w:ascii="Times New Roman" w:hAnsi="Times New Roman" w:cs="Times New Roman"/>
          <w:sz w:val="24"/>
          <w:szCs w:val="24"/>
        </w:rPr>
        <w:t xml:space="preserve"> na Życie</w:t>
      </w:r>
      <w:r w:rsidR="00E34E1F" w:rsidRPr="0079681D">
        <w:rPr>
          <w:rFonts w:ascii="Times New Roman" w:hAnsi="Times New Roman" w:cs="Times New Roman"/>
          <w:sz w:val="24"/>
          <w:szCs w:val="24"/>
        </w:rPr>
        <w:t xml:space="preserve"> POMOC S.A. w Warszawie nr 1/2012</w:t>
      </w:r>
      <w:r w:rsidR="002D4E5C" w:rsidRPr="0079681D">
        <w:rPr>
          <w:rFonts w:ascii="Times New Roman" w:hAnsi="Times New Roman" w:cs="Times New Roman"/>
          <w:sz w:val="24"/>
          <w:szCs w:val="24"/>
        </w:rPr>
        <w:t>,</w:t>
      </w:r>
      <w:r w:rsidR="00E34E1F" w:rsidRPr="0079681D">
        <w:rPr>
          <w:rFonts w:ascii="Times New Roman" w:hAnsi="Times New Roman" w:cs="Times New Roman"/>
          <w:sz w:val="24"/>
          <w:szCs w:val="24"/>
        </w:rPr>
        <w:t xml:space="preserve"> </w:t>
      </w:r>
      <w:r w:rsidR="00E34E1F" w:rsidRPr="0079681D">
        <w:rPr>
          <w:rFonts w:ascii="Times New Roman" w:hAnsi="Times New Roman" w:cs="Times New Roman"/>
          <w:sz w:val="24"/>
          <w:szCs w:val="24"/>
        </w:rPr>
        <w:t>o treści</w:t>
      </w:r>
      <w:r w:rsidR="00362133" w:rsidRPr="0079681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34E1F" w:rsidRPr="0079681D">
        <w:rPr>
          <w:rFonts w:ascii="Times New Roman" w:hAnsi="Times New Roman" w:cs="Times New Roman"/>
          <w:i/>
          <w:iCs/>
          <w:sz w:val="24"/>
          <w:szCs w:val="24"/>
        </w:rPr>
        <w:t xml:space="preserve">„Opłata likwidacyjna (koszt wykupu środków zgromadzonych na osobistym rachunku jednostek uczestnictwa składek regularnych) – przy dokonaniu całkowitego lub częściowego wykupu certyfikatu ubezpieczeniowego – 95%, jeżeli składki regularne były łącznie opłacane </w:t>
      </w:r>
      <w:r w:rsidR="002D4E5C" w:rsidRPr="0079681D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E34E1F" w:rsidRPr="0079681D">
        <w:rPr>
          <w:rFonts w:ascii="Times New Roman" w:hAnsi="Times New Roman" w:cs="Times New Roman"/>
          <w:i/>
          <w:sz w:val="24"/>
          <w:szCs w:val="24"/>
        </w:rPr>
        <w:t>jeden</w:t>
      </w:r>
      <w:r w:rsidR="00E34E1F" w:rsidRPr="0079681D">
        <w:rPr>
          <w:rFonts w:ascii="Times New Roman" w:hAnsi="Times New Roman" w:cs="Times New Roman"/>
          <w:i/>
          <w:sz w:val="24"/>
          <w:szCs w:val="24"/>
        </w:rPr>
        <w:t xml:space="preserve"> rok, a wykup</w:t>
      </w:r>
      <w:r w:rsidR="00E34E1F" w:rsidRPr="007968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4E1F" w:rsidRPr="0079681D">
        <w:rPr>
          <w:rFonts w:ascii="Times New Roman" w:hAnsi="Times New Roman" w:cs="Times New Roman"/>
          <w:i/>
          <w:sz w:val="24"/>
          <w:szCs w:val="24"/>
        </w:rPr>
        <w:t>dokonywany jest nie wcześniej niż</w:t>
      </w:r>
      <w:r w:rsidR="00E34E1F" w:rsidRPr="007968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4E1F" w:rsidRPr="0079681D">
        <w:rPr>
          <w:rFonts w:ascii="Times New Roman" w:hAnsi="Times New Roman" w:cs="Times New Roman"/>
          <w:i/>
          <w:sz w:val="24"/>
          <w:szCs w:val="24"/>
        </w:rPr>
        <w:t>w</w:t>
      </w:r>
      <w:r w:rsidR="00E34E1F" w:rsidRPr="0079681D">
        <w:rPr>
          <w:rFonts w:ascii="Times New Roman" w:hAnsi="Times New Roman" w:cs="Times New Roman"/>
          <w:i/>
          <w:sz w:val="24"/>
          <w:szCs w:val="24"/>
        </w:rPr>
        <w:t xml:space="preserve"> dwa</w:t>
      </w:r>
      <w:r w:rsidR="00E34E1F" w:rsidRPr="0079681D">
        <w:rPr>
          <w:rFonts w:ascii="Times New Roman" w:hAnsi="Times New Roman" w:cs="Times New Roman"/>
          <w:i/>
          <w:sz w:val="24"/>
          <w:szCs w:val="24"/>
        </w:rPr>
        <w:t xml:space="preserve"> roku trwania certyfikatu</w:t>
      </w:r>
      <w:r w:rsidR="00362133" w:rsidRPr="0079681D">
        <w:rPr>
          <w:rFonts w:ascii="Times New Roman" w:hAnsi="Times New Roman" w:cs="Times New Roman"/>
          <w:iCs/>
          <w:sz w:val="24"/>
          <w:szCs w:val="24"/>
        </w:rPr>
        <w:t xml:space="preserve">” </w:t>
      </w:r>
      <w:r w:rsidR="002D4E5C" w:rsidRPr="0079681D">
        <w:rPr>
          <w:rFonts w:ascii="Times New Roman" w:hAnsi="Times New Roman" w:cs="Times New Roman"/>
          <w:iCs/>
          <w:sz w:val="24"/>
          <w:szCs w:val="24"/>
        </w:rPr>
        <w:br/>
      </w:r>
      <w:r w:rsidR="00362133" w:rsidRPr="0079681D">
        <w:rPr>
          <w:rFonts w:ascii="Times New Roman" w:hAnsi="Times New Roman" w:cs="Times New Roman"/>
          <w:iCs/>
          <w:sz w:val="24"/>
          <w:szCs w:val="24"/>
        </w:rPr>
        <w:t>za niedozwolo</w:t>
      </w:r>
      <w:r w:rsidR="00E34E1F" w:rsidRPr="0079681D">
        <w:rPr>
          <w:rFonts w:ascii="Times New Roman" w:hAnsi="Times New Roman" w:cs="Times New Roman"/>
          <w:iCs/>
          <w:sz w:val="24"/>
          <w:szCs w:val="24"/>
        </w:rPr>
        <w:t xml:space="preserve">ne i zakazanie jego stosowania </w:t>
      </w:r>
      <w:r w:rsidR="00E34E1F" w:rsidRPr="0079681D">
        <w:rPr>
          <w:rFonts w:ascii="Times New Roman" w:hAnsi="Times New Roman" w:cs="Times New Roman"/>
          <w:sz w:val="24"/>
          <w:szCs w:val="24"/>
        </w:rPr>
        <w:t>w umowach z konsumentami</w:t>
      </w:r>
      <w:r w:rsidR="00E34E1F" w:rsidRPr="0079681D">
        <w:rPr>
          <w:rFonts w:ascii="Times New Roman" w:hAnsi="Times New Roman" w:cs="Times New Roman"/>
          <w:sz w:val="24"/>
          <w:szCs w:val="24"/>
        </w:rPr>
        <w:t>.</w:t>
      </w:r>
    </w:p>
    <w:p w:rsidR="00E34E1F" w:rsidRPr="0079681D" w:rsidRDefault="00E34E1F" w:rsidP="0079681D">
      <w:pPr>
        <w:autoSpaceDE w:val="0"/>
        <w:autoSpaceDN w:val="0"/>
        <w:adjustRightInd w:val="0"/>
        <w:spacing w:after="0"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6320" w:rsidRPr="0079681D" w:rsidRDefault="00AF6320" w:rsidP="0079681D">
      <w:pPr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81D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AF6320" w:rsidRPr="0079681D" w:rsidRDefault="00AF6320" w:rsidP="0079681D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641B4" w:rsidRPr="0079681D" w:rsidRDefault="00362133" w:rsidP="0079681D">
      <w:pPr>
        <w:autoSpaceDE w:val="0"/>
        <w:autoSpaceDN w:val="0"/>
        <w:adjustRightInd w:val="0"/>
        <w:spacing w:after="0"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81D">
        <w:rPr>
          <w:rFonts w:ascii="Times New Roman" w:hAnsi="Times New Roman" w:cs="Times New Roman"/>
          <w:sz w:val="24"/>
          <w:szCs w:val="24"/>
        </w:rPr>
        <w:t xml:space="preserve">Pozwany jest przedsiębiorcą wpisanym do rejestru przedsiębiorstw Krajowego Rejestru Sądowego. W ramach prowadzonej działalności ubezpieczeniowej pozwany posługuje się wzorcem umownym pt. </w:t>
      </w:r>
      <w:r w:rsidR="002D4E5C" w:rsidRPr="0079681D">
        <w:rPr>
          <w:rFonts w:ascii="Times New Roman" w:hAnsi="Times New Roman" w:cs="Times New Roman"/>
          <w:sz w:val="24"/>
          <w:szCs w:val="24"/>
        </w:rPr>
        <w:t>„</w:t>
      </w:r>
      <w:r w:rsidR="002D4E5C" w:rsidRPr="0079681D">
        <w:rPr>
          <w:rFonts w:ascii="Times New Roman" w:hAnsi="Times New Roman" w:cs="Times New Roman"/>
          <w:sz w:val="24"/>
          <w:szCs w:val="24"/>
        </w:rPr>
        <w:t>Ogóln</w:t>
      </w:r>
      <w:r w:rsidR="002D4E5C" w:rsidRPr="0079681D">
        <w:rPr>
          <w:rFonts w:ascii="Times New Roman" w:hAnsi="Times New Roman" w:cs="Times New Roman"/>
          <w:sz w:val="24"/>
          <w:szCs w:val="24"/>
        </w:rPr>
        <w:t>e</w:t>
      </w:r>
      <w:r w:rsidR="002D4E5C" w:rsidRPr="0079681D">
        <w:rPr>
          <w:rFonts w:ascii="Times New Roman" w:hAnsi="Times New Roman" w:cs="Times New Roman"/>
          <w:sz w:val="24"/>
          <w:szCs w:val="24"/>
        </w:rPr>
        <w:t xml:space="preserve"> warunk</w:t>
      </w:r>
      <w:r w:rsidR="002D4E5C" w:rsidRPr="0079681D">
        <w:rPr>
          <w:rFonts w:ascii="Times New Roman" w:hAnsi="Times New Roman" w:cs="Times New Roman"/>
          <w:sz w:val="24"/>
          <w:szCs w:val="24"/>
        </w:rPr>
        <w:t>i</w:t>
      </w:r>
      <w:r w:rsidR="002D4E5C" w:rsidRPr="0079681D">
        <w:rPr>
          <w:rFonts w:ascii="Times New Roman" w:hAnsi="Times New Roman" w:cs="Times New Roman"/>
          <w:sz w:val="24"/>
          <w:szCs w:val="24"/>
        </w:rPr>
        <w:t xml:space="preserve"> grupowego ubezpieczenia na życie z ubezpieczeniowym funduszem kapitałowym Bezpieczna i dostatnia przyszłość”, zatwierdzony</w:t>
      </w:r>
      <w:r w:rsidR="002D4E5C" w:rsidRPr="0079681D">
        <w:rPr>
          <w:rFonts w:ascii="Times New Roman" w:hAnsi="Times New Roman" w:cs="Times New Roman"/>
          <w:sz w:val="24"/>
          <w:szCs w:val="24"/>
        </w:rPr>
        <w:t>m</w:t>
      </w:r>
      <w:r w:rsidR="002D4E5C" w:rsidRPr="0079681D">
        <w:rPr>
          <w:rFonts w:ascii="Times New Roman" w:hAnsi="Times New Roman" w:cs="Times New Roman"/>
          <w:sz w:val="24"/>
          <w:szCs w:val="24"/>
        </w:rPr>
        <w:t xml:space="preserve"> uchwałą Zarządu </w:t>
      </w:r>
      <w:r w:rsidR="002D4E5C" w:rsidRPr="0079681D">
        <w:rPr>
          <w:rFonts w:ascii="Times New Roman" w:hAnsi="Times New Roman" w:cs="Times New Roman"/>
          <w:sz w:val="24"/>
          <w:szCs w:val="24"/>
        </w:rPr>
        <w:t>pozwanego</w:t>
      </w:r>
      <w:r w:rsidR="002D4E5C" w:rsidRPr="0079681D">
        <w:rPr>
          <w:rFonts w:ascii="Times New Roman" w:hAnsi="Times New Roman" w:cs="Times New Roman"/>
          <w:sz w:val="24"/>
          <w:szCs w:val="24"/>
        </w:rPr>
        <w:t xml:space="preserve"> nr 1/2012</w:t>
      </w:r>
      <w:r w:rsidR="002D4E5C" w:rsidRPr="0079681D">
        <w:rPr>
          <w:rFonts w:ascii="Times New Roman" w:hAnsi="Times New Roman" w:cs="Times New Roman"/>
          <w:sz w:val="24"/>
          <w:szCs w:val="24"/>
        </w:rPr>
        <w:t xml:space="preserve">. Załącznikiem do tego wzorca jest </w:t>
      </w:r>
      <w:r w:rsidR="002D4E5C" w:rsidRPr="0079681D">
        <w:rPr>
          <w:rFonts w:ascii="Times New Roman" w:hAnsi="Times New Roman" w:cs="Times New Roman"/>
          <w:sz w:val="24"/>
          <w:szCs w:val="24"/>
        </w:rPr>
        <w:t>„Tabel</w:t>
      </w:r>
      <w:r w:rsidR="002D4E5C" w:rsidRPr="0079681D">
        <w:rPr>
          <w:rFonts w:ascii="Times New Roman" w:hAnsi="Times New Roman" w:cs="Times New Roman"/>
          <w:sz w:val="24"/>
          <w:szCs w:val="24"/>
        </w:rPr>
        <w:t>a</w:t>
      </w:r>
      <w:r w:rsidR="002D4E5C" w:rsidRPr="0079681D">
        <w:rPr>
          <w:rFonts w:ascii="Times New Roman" w:hAnsi="Times New Roman" w:cs="Times New Roman"/>
          <w:sz w:val="24"/>
          <w:szCs w:val="24"/>
        </w:rPr>
        <w:t xml:space="preserve"> opłat i kosztów”</w:t>
      </w:r>
      <w:r w:rsidR="002D4E5C" w:rsidRPr="0079681D">
        <w:rPr>
          <w:rFonts w:ascii="Times New Roman" w:hAnsi="Times New Roman" w:cs="Times New Roman"/>
          <w:sz w:val="24"/>
          <w:szCs w:val="24"/>
        </w:rPr>
        <w:t xml:space="preserve">, która przewiduje obciążenie osób ubezpieczonych tzw. opłatą likwidacyjną, zdefiniowaną jako </w:t>
      </w:r>
      <w:r w:rsidR="002D4E5C" w:rsidRPr="0079681D">
        <w:rPr>
          <w:rFonts w:ascii="Times New Roman" w:hAnsi="Times New Roman" w:cs="Times New Roman"/>
          <w:iCs/>
          <w:sz w:val="24"/>
          <w:szCs w:val="24"/>
        </w:rPr>
        <w:t xml:space="preserve">koszt wykupu środków zgromadzonych na </w:t>
      </w:r>
      <w:r w:rsidR="002D4E5C" w:rsidRPr="0079681D">
        <w:rPr>
          <w:rFonts w:ascii="Times New Roman" w:hAnsi="Times New Roman" w:cs="Times New Roman"/>
          <w:iCs/>
          <w:sz w:val="24"/>
          <w:szCs w:val="24"/>
        </w:rPr>
        <w:t>osobistym rachunku jednostek uczestnictwa</w:t>
      </w:r>
      <w:r w:rsidR="002D4E5C" w:rsidRPr="0079681D">
        <w:rPr>
          <w:rFonts w:ascii="Times New Roman" w:hAnsi="Times New Roman" w:cs="Times New Roman"/>
          <w:iCs/>
          <w:sz w:val="24"/>
          <w:szCs w:val="24"/>
        </w:rPr>
        <w:t xml:space="preserve"> składek regularnych. Wysokość tej wypłaty jest uzależniona od długości okresu opłacania składek regularnych. Jeżeli składki regularne były łącznie </w:t>
      </w:r>
      <w:r w:rsidR="002D4E5C" w:rsidRPr="0079681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opłacane </w:t>
      </w:r>
      <w:r w:rsidR="002641B4" w:rsidRPr="0079681D">
        <w:rPr>
          <w:rFonts w:ascii="Times New Roman" w:hAnsi="Times New Roman" w:cs="Times New Roman"/>
          <w:iCs/>
          <w:sz w:val="24"/>
          <w:szCs w:val="24"/>
        </w:rPr>
        <w:t xml:space="preserve">przez </w:t>
      </w:r>
      <w:r w:rsidR="002D4E5C" w:rsidRPr="0079681D">
        <w:rPr>
          <w:rFonts w:ascii="Times New Roman" w:hAnsi="Times New Roman" w:cs="Times New Roman"/>
          <w:sz w:val="24"/>
          <w:szCs w:val="24"/>
        </w:rPr>
        <w:t>jeden rok, a wykup dokonywany jest nie wcześniej niż w dwa roku trwania certyfikatu</w:t>
      </w:r>
      <w:r w:rsidR="002641B4" w:rsidRPr="0079681D">
        <w:rPr>
          <w:rFonts w:ascii="Times New Roman" w:hAnsi="Times New Roman" w:cs="Times New Roman"/>
          <w:iCs/>
          <w:sz w:val="24"/>
          <w:szCs w:val="24"/>
        </w:rPr>
        <w:t xml:space="preserve">, wówczas opłata likwidacyjna wynosi 95% środków zgromadzonych na </w:t>
      </w:r>
      <w:r w:rsidR="002641B4" w:rsidRPr="0079681D">
        <w:rPr>
          <w:rFonts w:ascii="Times New Roman" w:hAnsi="Times New Roman" w:cs="Times New Roman"/>
          <w:iCs/>
          <w:sz w:val="24"/>
          <w:szCs w:val="24"/>
        </w:rPr>
        <w:t>osobistym rachunku jednostek uczestnictwa</w:t>
      </w:r>
      <w:r w:rsidR="002641B4" w:rsidRPr="0079681D">
        <w:rPr>
          <w:rFonts w:ascii="Times New Roman" w:hAnsi="Times New Roman" w:cs="Times New Roman"/>
          <w:iCs/>
          <w:sz w:val="24"/>
          <w:szCs w:val="24"/>
        </w:rPr>
        <w:t xml:space="preserve"> składek regularnych. Zdaniem powoda postanowienie </w:t>
      </w:r>
      <w:r w:rsidR="005358C4">
        <w:rPr>
          <w:rFonts w:ascii="Times New Roman" w:hAnsi="Times New Roman" w:cs="Times New Roman"/>
          <w:iCs/>
          <w:sz w:val="24"/>
          <w:szCs w:val="24"/>
        </w:rPr>
        <w:br/>
      </w:r>
      <w:r w:rsidR="002641B4" w:rsidRPr="0079681D">
        <w:rPr>
          <w:rFonts w:ascii="Times New Roman" w:hAnsi="Times New Roman" w:cs="Times New Roman"/>
          <w:iCs/>
          <w:sz w:val="24"/>
          <w:szCs w:val="24"/>
        </w:rPr>
        <w:t xml:space="preserve">to </w:t>
      </w:r>
      <w:r w:rsidR="002641B4" w:rsidRPr="002641B4">
        <w:rPr>
          <w:rFonts w:ascii="Times New Roman" w:hAnsi="Times New Roman" w:cs="Times New Roman"/>
          <w:sz w:val="24"/>
          <w:szCs w:val="24"/>
        </w:rPr>
        <w:t>kształtuj</w:t>
      </w:r>
      <w:r w:rsidR="002641B4" w:rsidRPr="0079681D">
        <w:rPr>
          <w:rFonts w:ascii="Times New Roman" w:hAnsi="Times New Roman" w:cs="Times New Roman"/>
          <w:sz w:val="24"/>
          <w:szCs w:val="24"/>
        </w:rPr>
        <w:t xml:space="preserve">e </w:t>
      </w:r>
      <w:r w:rsidR="002641B4" w:rsidRPr="002641B4">
        <w:rPr>
          <w:rFonts w:ascii="Times New Roman" w:hAnsi="Times New Roman" w:cs="Times New Roman"/>
          <w:sz w:val="24"/>
          <w:szCs w:val="24"/>
        </w:rPr>
        <w:t xml:space="preserve">prawa i obowiązki </w:t>
      </w:r>
      <w:r w:rsidR="002641B4" w:rsidRPr="0079681D">
        <w:rPr>
          <w:rFonts w:ascii="Times New Roman" w:hAnsi="Times New Roman" w:cs="Times New Roman"/>
          <w:sz w:val="24"/>
          <w:szCs w:val="24"/>
        </w:rPr>
        <w:t xml:space="preserve">konsumenta </w:t>
      </w:r>
      <w:r w:rsidR="002641B4" w:rsidRPr="002641B4">
        <w:rPr>
          <w:rFonts w:ascii="Times New Roman" w:hAnsi="Times New Roman" w:cs="Times New Roman"/>
          <w:sz w:val="24"/>
          <w:szCs w:val="24"/>
        </w:rPr>
        <w:t xml:space="preserve">w sposób sprzeczny z dobrymi obyczajami, </w:t>
      </w:r>
      <w:r w:rsidR="002641B4" w:rsidRPr="0079681D">
        <w:rPr>
          <w:rFonts w:ascii="Times New Roman" w:hAnsi="Times New Roman" w:cs="Times New Roman"/>
          <w:sz w:val="24"/>
          <w:szCs w:val="24"/>
        </w:rPr>
        <w:t xml:space="preserve">rażąco naruszając jego interesy, a zatem stanowi </w:t>
      </w:r>
      <w:r w:rsidR="002641B4" w:rsidRPr="002641B4">
        <w:rPr>
          <w:rFonts w:ascii="Times New Roman" w:hAnsi="Times New Roman" w:cs="Times New Roman"/>
          <w:sz w:val="24"/>
          <w:szCs w:val="24"/>
        </w:rPr>
        <w:t>niedozwolone postanowieni</w:t>
      </w:r>
      <w:r w:rsidR="002641B4" w:rsidRPr="0079681D">
        <w:rPr>
          <w:rFonts w:ascii="Times New Roman" w:hAnsi="Times New Roman" w:cs="Times New Roman"/>
          <w:sz w:val="24"/>
          <w:szCs w:val="24"/>
        </w:rPr>
        <w:t xml:space="preserve">e umowne, </w:t>
      </w:r>
      <w:r w:rsidR="005358C4">
        <w:rPr>
          <w:rFonts w:ascii="Times New Roman" w:hAnsi="Times New Roman" w:cs="Times New Roman"/>
          <w:sz w:val="24"/>
          <w:szCs w:val="24"/>
        </w:rPr>
        <w:br/>
      </w:r>
      <w:r w:rsidR="002641B4" w:rsidRPr="0079681D">
        <w:rPr>
          <w:rFonts w:ascii="Times New Roman" w:hAnsi="Times New Roman" w:cs="Times New Roman"/>
          <w:sz w:val="24"/>
          <w:szCs w:val="24"/>
        </w:rPr>
        <w:t xml:space="preserve">o którym mowa w art. </w:t>
      </w:r>
      <w:r w:rsidR="002641B4" w:rsidRPr="002641B4">
        <w:rPr>
          <w:rFonts w:ascii="Times New Roman" w:hAnsi="Times New Roman" w:cs="Times New Roman"/>
          <w:bCs/>
          <w:sz w:val="24"/>
          <w:szCs w:val="24"/>
        </w:rPr>
        <w:t>385</w:t>
      </w:r>
      <w:r w:rsidR="002641B4" w:rsidRPr="002641B4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2641B4" w:rsidRPr="002641B4">
        <w:rPr>
          <w:rFonts w:ascii="Times New Roman" w:hAnsi="Times New Roman" w:cs="Times New Roman"/>
          <w:sz w:val="24"/>
          <w:szCs w:val="24"/>
        </w:rPr>
        <w:t> § </w:t>
      </w:r>
      <w:r w:rsidR="002641B4" w:rsidRPr="0079681D">
        <w:rPr>
          <w:rFonts w:ascii="Times New Roman" w:hAnsi="Times New Roman" w:cs="Times New Roman"/>
          <w:sz w:val="24"/>
          <w:szCs w:val="24"/>
        </w:rPr>
        <w:t xml:space="preserve">1 k.c. Należy przy tym zaznaczyć, iż postanowienie to nie </w:t>
      </w:r>
      <w:r w:rsidR="005358C4">
        <w:rPr>
          <w:rFonts w:ascii="Times New Roman" w:hAnsi="Times New Roman" w:cs="Times New Roman"/>
          <w:sz w:val="24"/>
          <w:szCs w:val="24"/>
        </w:rPr>
        <w:br/>
      </w:r>
      <w:r w:rsidR="002641B4" w:rsidRPr="0079681D">
        <w:rPr>
          <w:rFonts w:ascii="Times New Roman" w:hAnsi="Times New Roman" w:cs="Times New Roman"/>
          <w:sz w:val="24"/>
          <w:szCs w:val="24"/>
        </w:rPr>
        <w:t>jest uzgadniane indywidualnie z konsumentem, jak również nie określa ono</w:t>
      </w:r>
      <w:r w:rsidR="002641B4" w:rsidRPr="002641B4">
        <w:rPr>
          <w:rFonts w:ascii="Times New Roman" w:hAnsi="Times New Roman" w:cs="Times New Roman"/>
          <w:sz w:val="24"/>
          <w:szCs w:val="24"/>
        </w:rPr>
        <w:t xml:space="preserve"> główne</w:t>
      </w:r>
      <w:r w:rsidR="002641B4" w:rsidRPr="0079681D">
        <w:rPr>
          <w:rFonts w:ascii="Times New Roman" w:hAnsi="Times New Roman" w:cs="Times New Roman"/>
          <w:sz w:val="24"/>
          <w:szCs w:val="24"/>
        </w:rPr>
        <w:t>go</w:t>
      </w:r>
      <w:r w:rsidR="002641B4" w:rsidRPr="002641B4">
        <w:rPr>
          <w:rFonts w:ascii="Times New Roman" w:hAnsi="Times New Roman" w:cs="Times New Roman"/>
          <w:sz w:val="24"/>
          <w:szCs w:val="24"/>
        </w:rPr>
        <w:t xml:space="preserve"> świadczenia stron</w:t>
      </w:r>
      <w:r w:rsidR="002641B4" w:rsidRPr="0079681D">
        <w:rPr>
          <w:rFonts w:ascii="Times New Roman" w:hAnsi="Times New Roman" w:cs="Times New Roman"/>
          <w:sz w:val="24"/>
          <w:szCs w:val="24"/>
        </w:rPr>
        <w:t>.</w:t>
      </w:r>
    </w:p>
    <w:p w:rsidR="002641B4" w:rsidRPr="0079681D" w:rsidRDefault="002641B4" w:rsidP="0079681D">
      <w:pPr>
        <w:autoSpaceDE w:val="0"/>
        <w:autoSpaceDN w:val="0"/>
        <w:adjustRightInd w:val="0"/>
        <w:spacing w:after="0"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81D">
        <w:rPr>
          <w:rFonts w:ascii="Times New Roman" w:hAnsi="Times New Roman" w:cs="Times New Roman"/>
          <w:sz w:val="24"/>
          <w:szCs w:val="24"/>
        </w:rPr>
        <w:t xml:space="preserve">Kwestionowane postanowienie wzorca umownego powoduje, że </w:t>
      </w:r>
      <w:r w:rsidRPr="002641B4">
        <w:rPr>
          <w:rFonts w:ascii="Times New Roman" w:hAnsi="Times New Roman" w:cs="Times New Roman"/>
          <w:sz w:val="24"/>
          <w:szCs w:val="24"/>
        </w:rPr>
        <w:t>rezygnacja przez ubezpieczonego z dalszego wnosz</w:t>
      </w:r>
      <w:r w:rsidRPr="0079681D">
        <w:rPr>
          <w:rFonts w:ascii="Times New Roman" w:hAnsi="Times New Roman" w:cs="Times New Roman"/>
          <w:sz w:val="24"/>
          <w:szCs w:val="24"/>
        </w:rPr>
        <w:t xml:space="preserve">enia składki </w:t>
      </w:r>
      <w:r w:rsidRPr="002641B4">
        <w:rPr>
          <w:rFonts w:ascii="Times New Roman" w:hAnsi="Times New Roman" w:cs="Times New Roman"/>
          <w:sz w:val="24"/>
          <w:szCs w:val="24"/>
        </w:rPr>
        <w:t>skutk</w:t>
      </w:r>
      <w:r w:rsidRPr="0079681D">
        <w:rPr>
          <w:rFonts w:ascii="Times New Roman" w:hAnsi="Times New Roman" w:cs="Times New Roman"/>
          <w:sz w:val="24"/>
          <w:szCs w:val="24"/>
        </w:rPr>
        <w:t>uje</w:t>
      </w:r>
      <w:r w:rsidRPr="002641B4">
        <w:rPr>
          <w:rFonts w:ascii="Times New Roman" w:hAnsi="Times New Roman" w:cs="Times New Roman"/>
          <w:sz w:val="24"/>
          <w:szCs w:val="24"/>
        </w:rPr>
        <w:t xml:space="preserve"> utratą </w:t>
      </w:r>
      <w:r w:rsidRPr="0079681D">
        <w:rPr>
          <w:rFonts w:ascii="Times New Roman" w:hAnsi="Times New Roman" w:cs="Times New Roman"/>
          <w:sz w:val="24"/>
          <w:szCs w:val="24"/>
        </w:rPr>
        <w:t xml:space="preserve">niemal </w:t>
      </w:r>
      <w:r w:rsidRPr="002641B4">
        <w:rPr>
          <w:rFonts w:ascii="Times New Roman" w:hAnsi="Times New Roman" w:cs="Times New Roman"/>
          <w:sz w:val="24"/>
          <w:szCs w:val="24"/>
        </w:rPr>
        <w:t>wszystkich środków</w:t>
      </w:r>
      <w:r w:rsidRPr="0079681D">
        <w:rPr>
          <w:rFonts w:ascii="Times New Roman" w:hAnsi="Times New Roman" w:cs="Times New Roman"/>
          <w:sz w:val="24"/>
          <w:szCs w:val="24"/>
        </w:rPr>
        <w:t>,</w:t>
      </w:r>
      <w:r w:rsidRPr="002641B4">
        <w:rPr>
          <w:rFonts w:ascii="Times New Roman" w:hAnsi="Times New Roman" w:cs="Times New Roman"/>
          <w:sz w:val="24"/>
          <w:szCs w:val="24"/>
        </w:rPr>
        <w:t xml:space="preserve"> jakie zostaną uzyskane poprzez wykup jednostek uczestnictwa.</w:t>
      </w:r>
      <w:r w:rsidRPr="0079681D">
        <w:rPr>
          <w:rFonts w:ascii="Times New Roman" w:hAnsi="Times New Roman" w:cs="Times New Roman"/>
          <w:sz w:val="24"/>
          <w:szCs w:val="24"/>
        </w:rPr>
        <w:t xml:space="preserve"> U</w:t>
      </w:r>
      <w:r w:rsidRPr="002641B4">
        <w:rPr>
          <w:rFonts w:ascii="Times New Roman" w:hAnsi="Times New Roman" w:cs="Times New Roman"/>
          <w:sz w:val="24"/>
          <w:szCs w:val="24"/>
        </w:rPr>
        <w:t>bezpieczyciel</w:t>
      </w:r>
      <w:r w:rsidRPr="0079681D">
        <w:rPr>
          <w:rFonts w:ascii="Times New Roman" w:hAnsi="Times New Roman" w:cs="Times New Roman"/>
          <w:sz w:val="24"/>
          <w:szCs w:val="24"/>
        </w:rPr>
        <w:t xml:space="preserve"> przewidział tym samym dla </w:t>
      </w:r>
      <w:r w:rsidRPr="002641B4">
        <w:rPr>
          <w:rFonts w:ascii="Times New Roman" w:hAnsi="Times New Roman" w:cs="Times New Roman"/>
          <w:sz w:val="24"/>
          <w:szCs w:val="24"/>
        </w:rPr>
        <w:t>ubezpieczonego swoistą sankcję za rezygnację z dalszego kontynuowania umowy</w:t>
      </w:r>
      <w:r w:rsidRPr="0079681D">
        <w:rPr>
          <w:rFonts w:ascii="Times New Roman" w:hAnsi="Times New Roman" w:cs="Times New Roman"/>
          <w:sz w:val="24"/>
          <w:szCs w:val="24"/>
        </w:rPr>
        <w:t>,</w:t>
      </w:r>
      <w:r w:rsidRPr="002641B4">
        <w:rPr>
          <w:rFonts w:ascii="Times New Roman" w:hAnsi="Times New Roman" w:cs="Times New Roman"/>
          <w:sz w:val="24"/>
          <w:szCs w:val="24"/>
        </w:rPr>
        <w:t xml:space="preserve"> bez powiązania jej z </w:t>
      </w:r>
      <w:r w:rsidRPr="0079681D">
        <w:rPr>
          <w:rFonts w:ascii="Times New Roman" w:hAnsi="Times New Roman" w:cs="Times New Roman"/>
          <w:sz w:val="24"/>
          <w:szCs w:val="24"/>
        </w:rPr>
        <w:t>realnie poniesionymi wydatkami. Z</w:t>
      </w:r>
      <w:r w:rsidRPr="002641B4">
        <w:rPr>
          <w:rFonts w:ascii="Times New Roman" w:hAnsi="Times New Roman" w:cs="Times New Roman"/>
          <w:sz w:val="24"/>
          <w:szCs w:val="24"/>
        </w:rPr>
        <w:t xml:space="preserve">astrzeżenie </w:t>
      </w:r>
      <w:r w:rsidRPr="0079681D">
        <w:rPr>
          <w:rFonts w:ascii="Times New Roman" w:hAnsi="Times New Roman" w:cs="Times New Roman"/>
          <w:sz w:val="24"/>
          <w:szCs w:val="24"/>
        </w:rPr>
        <w:t>to jest</w:t>
      </w:r>
      <w:r w:rsidR="0079681D" w:rsidRPr="0079681D">
        <w:rPr>
          <w:rFonts w:ascii="Times New Roman" w:hAnsi="Times New Roman" w:cs="Times New Roman"/>
          <w:sz w:val="24"/>
          <w:szCs w:val="24"/>
        </w:rPr>
        <w:t xml:space="preserve"> przy tym</w:t>
      </w:r>
      <w:r w:rsidRPr="0079681D">
        <w:rPr>
          <w:rFonts w:ascii="Times New Roman" w:hAnsi="Times New Roman" w:cs="Times New Roman"/>
          <w:sz w:val="24"/>
          <w:szCs w:val="24"/>
        </w:rPr>
        <w:t xml:space="preserve"> </w:t>
      </w:r>
      <w:r w:rsidRPr="002641B4">
        <w:rPr>
          <w:rFonts w:ascii="Times New Roman" w:hAnsi="Times New Roman" w:cs="Times New Roman"/>
          <w:sz w:val="24"/>
          <w:szCs w:val="24"/>
        </w:rPr>
        <w:t>całkowicie niezależne od wartości posiadanych przez ubezpieczonego jednostek uczestnictwa.</w:t>
      </w:r>
      <w:r w:rsidR="0079681D" w:rsidRPr="0079681D">
        <w:rPr>
          <w:rFonts w:ascii="Times New Roman" w:hAnsi="Times New Roman" w:cs="Times New Roman"/>
          <w:sz w:val="24"/>
          <w:szCs w:val="24"/>
        </w:rPr>
        <w:t xml:space="preserve"> </w:t>
      </w:r>
      <w:r w:rsidRPr="002641B4">
        <w:rPr>
          <w:rFonts w:ascii="Times New Roman" w:hAnsi="Times New Roman" w:cs="Times New Roman"/>
          <w:sz w:val="24"/>
          <w:szCs w:val="24"/>
        </w:rPr>
        <w:t xml:space="preserve">Tak sformułowane postanowienie narusza dobre obyczaje, gdyż sankcjonuje przejęcie </w:t>
      </w:r>
      <w:r w:rsidR="005358C4">
        <w:rPr>
          <w:rFonts w:ascii="Times New Roman" w:hAnsi="Times New Roman" w:cs="Times New Roman"/>
          <w:sz w:val="24"/>
          <w:szCs w:val="24"/>
        </w:rPr>
        <w:br/>
      </w:r>
      <w:r w:rsidRPr="002641B4">
        <w:rPr>
          <w:rFonts w:ascii="Times New Roman" w:hAnsi="Times New Roman" w:cs="Times New Roman"/>
          <w:sz w:val="24"/>
          <w:szCs w:val="24"/>
        </w:rPr>
        <w:t xml:space="preserve">przez ubezpieczyciela </w:t>
      </w:r>
      <w:r w:rsidR="0079681D" w:rsidRPr="0079681D">
        <w:rPr>
          <w:rFonts w:ascii="Times New Roman" w:hAnsi="Times New Roman" w:cs="Times New Roman"/>
          <w:sz w:val="24"/>
          <w:szCs w:val="24"/>
        </w:rPr>
        <w:t xml:space="preserve">większości </w:t>
      </w:r>
      <w:r w:rsidRPr="002641B4">
        <w:rPr>
          <w:rFonts w:ascii="Times New Roman" w:hAnsi="Times New Roman" w:cs="Times New Roman"/>
          <w:sz w:val="24"/>
          <w:szCs w:val="24"/>
        </w:rPr>
        <w:t xml:space="preserve">całości wykupionych środków w całkowitym oderwaniu </w:t>
      </w:r>
      <w:r w:rsidR="005358C4">
        <w:rPr>
          <w:rFonts w:ascii="Times New Roman" w:hAnsi="Times New Roman" w:cs="Times New Roman"/>
          <w:sz w:val="24"/>
          <w:szCs w:val="24"/>
        </w:rPr>
        <w:br/>
      </w:r>
      <w:r w:rsidRPr="002641B4">
        <w:rPr>
          <w:rFonts w:ascii="Times New Roman" w:hAnsi="Times New Roman" w:cs="Times New Roman"/>
          <w:sz w:val="24"/>
          <w:szCs w:val="24"/>
        </w:rPr>
        <w:t xml:space="preserve">od skali poniesionych przez </w:t>
      </w:r>
      <w:r w:rsidR="0079681D" w:rsidRPr="0079681D">
        <w:rPr>
          <w:rFonts w:ascii="Times New Roman" w:hAnsi="Times New Roman" w:cs="Times New Roman"/>
          <w:sz w:val="24"/>
          <w:szCs w:val="24"/>
        </w:rPr>
        <w:t>niego</w:t>
      </w:r>
      <w:r w:rsidRPr="002641B4">
        <w:rPr>
          <w:rFonts w:ascii="Times New Roman" w:hAnsi="Times New Roman" w:cs="Times New Roman"/>
          <w:sz w:val="24"/>
          <w:szCs w:val="24"/>
        </w:rPr>
        <w:t xml:space="preserve"> </w:t>
      </w:r>
      <w:r w:rsidR="0079681D" w:rsidRPr="0079681D">
        <w:rPr>
          <w:rFonts w:ascii="Times New Roman" w:hAnsi="Times New Roman" w:cs="Times New Roman"/>
          <w:sz w:val="24"/>
          <w:szCs w:val="24"/>
        </w:rPr>
        <w:t>kosztów</w:t>
      </w:r>
      <w:r w:rsidRPr="002641B4">
        <w:rPr>
          <w:rFonts w:ascii="Times New Roman" w:hAnsi="Times New Roman" w:cs="Times New Roman"/>
          <w:sz w:val="24"/>
          <w:szCs w:val="24"/>
        </w:rPr>
        <w:t xml:space="preserve">. Nie stanowi </w:t>
      </w:r>
      <w:r w:rsidR="0079681D" w:rsidRPr="0079681D">
        <w:rPr>
          <w:rFonts w:ascii="Times New Roman" w:hAnsi="Times New Roman" w:cs="Times New Roman"/>
          <w:sz w:val="24"/>
          <w:szCs w:val="24"/>
        </w:rPr>
        <w:t>zaś</w:t>
      </w:r>
      <w:r w:rsidRPr="002641B4">
        <w:rPr>
          <w:rFonts w:ascii="Times New Roman" w:hAnsi="Times New Roman" w:cs="Times New Roman"/>
          <w:sz w:val="24"/>
          <w:szCs w:val="24"/>
        </w:rPr>
        <w:t xml:space="preserve"> dostatecznego usprawiedliwienia dla stosowania tak rygorystycznego automatyzmu okoliczność, że umowy ubezpieczenia </w:t>
      </w:r>
      <w:r w:rsidR="005358C4">
        <w:rPr>
          <w:rFonts w:ascii="Times New Roman" w:hAnsi="Times New Roman" w:cs="Times New Roman"/>
          <w:sz w:val="24"/>
          <w:szCs w:val="24"/>
        </w:rPr>
        <w:br/>
      </w:r>
      <w:r w:rsidRPr="002641B4">
        <w:rPr>
          <w:rFonts w:ascii="Times New Roman" w:hAnsi="Times New Roman" w:cs="Times New Roman"/>
          <w:sz w:val="24"/>
          <w:szCs w:val="24"/>
        </w:rPr>
        <w:t>na życie mają ze swej natury długoterminowy charakter.</w:t>
      </w:r>
      <w:r w:rsidR="0079681D" w:rsidRPr="0079681D">
        <w:rPr>
          <w:rFonts w:ascii="Times New Roman" w:hAnsi="Times New Roman" w:cs="Times New Roman"/>
          <w:sz w:val="24"/>
          <w:szCs w:val="24"/>
        </w:rPr>
        <w:t xml:space="preserve"> Kwestionowana klauzula </w:t>
      </w:r>
      <w:r w:rsidRPr="002641B4">
        <w:rPr>
          <w:rFonts w:ascii="Times New Roman" w:hAnsi="Times New Roman" w:cs="Times New Roman"/>
          <w:sz w:val="24"/>
          <w:szCs w:val="24"/>
        </w:rPr>
        <w:t xml:space="preserve">rażąco narusza </w:t>
      </w:r>
      <w:r w:rsidR="0079681D" w:rsidRPr="0079681D">
        <w:rPr>
          <w:rFonts w:ascii="Times New Roman" w:hAnsi="Times New Roman" w:cs="Times New Roman"/>
          <w:sz w:val="24"/>
          <w:szCs w:val="24"/>
        </w:rPr>
        <w:t xml:space="preserve">też </w:t>
      </w:r>
      <w:r w:rsidRPr="002641B4">
        <w:rPr>
          <w:rFonts w:ascii="Times New Roman" w:hAnsi="Times New Roman" w:cs="Times New Roman"/>
          <w:sz w:val="24"/>
          <w:szCs w:val="24"/>
        </w:rPr>
        <w:t>interes konsumenta, gdyż prowadzi do uzyskiwania przez ubezpieczyciela pewnych</w:t>
      </w:r>
      <w:r w:rsidR="0079681D" w:rsidRPr="0079681D">
        <w:rPr>
          <w:rFonts w:ascii="Times New Roman" w:hAnsi="Times New Roman" w:cs="Times New Roman"/>
          <w:sz w:val="24"/>
          <w:szCs w:val="24"/>
        </w:rPr>
        <w:t xml:space="preserve"> i znacznych</w:t>
      </w:r>
      <w:r w:rsidRPr="002641B4">
        <w:rPr>
          <w:rFonts w:ascii="Times New Roman" w:hAnsi="Times New Roman" w:cs="Times New Roman"/>
          <w:sz w:val="24"/>
          <w:szCs w:val="24"/>
        </w:rPr>
        <w:t xml:space="preserve"> korzyści</w:t>
      </w:r>
      <w:r w:rsidR="0079681D" w:rsidRPr="0079681D">
        <w:rPr>
          <w:rFonts w:ascii="Times New Roman" w:hAnsi="Times New Roman" w:cs="Times New Roman"/>
          <w:sz w:val="24"/>
          <w:szCs w:val="24"/>
        </w:rPr>
        <w:t xml:space="preserve"> kosztem ubezpieczonego</w:t>
      </w:r>
      <w:r w:rsidRPr="002641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681D" w:rsidRPr="0079681D" w:rsidRDefault="005358C4" w:rsidP="0079681D">
      <w:pPr>
        <w:autoSpaceDE w:val="0"/>
        <w:autoSpaceDN w:val="0"/>
        <w:adjustRightInd w:val="0"/>
        <w:spacing w:after="0"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</w:t>
      </w:r>
      <w:r w:rsidR="0079681D" w:rsidRPr="0079681D">
        <w:rPr>
          <w:rFonts w:ascii="Times New Roman" w:hAnsi="Times New Roman" w:cs="Times New Roman"/>
          <w:sz w:val="24"/>
          <w:szCs w:val="24"/>
        </w:rPr>
        <w:t>zaznaczyć, że kwestia opłat likwidacyjnych była już przedmiotem orzecznictwa Sądu Ochrony Konkur</w:t>
      </w:r>
      <w:r>
        <w:rPr>
          <w:rFonts w:ascii="Times New Roman" w:hAnsi="Times New Roman" w:cs="Times New Roman"/>
          <w:sz w:val="24"/>
          <w:szCs w:val="24"/>
        </w:rPr>
        <w:t>encji i Konsumentów. W jego świetle klauzule</w:t>
      </w:r>
      <w:r w:rsidR="0079681D" w:rsidRPr="0079681D">
        <w:rPr>
          <w:rFonts w:ascii="Times New Roman" w:hAnsi="Times New Roman" w:cs="Times New Roman"/>
          <w:sz w:val="24"/>
          <w:szCs w:val="24"/>
        </w:rPr>
        <w:t xml:space="preserve"> przewidujące opłatę likwidacyjną nieadekwatną do kosztów związanych z rozwiązaniem umowy ubezpieczenia, stanowi</w:t>
      </w:r>
      <w:r>
        <w:rPr>
          <w:rFonts w:ascii="Times New Roman" w:hAnsi="Times New Roman" w:cs="Times New Roman"/>
          <w:sz w:val="24"/>
          <w:szCs w:val="24"/>
        </w:rPr>
        <w:t>ą</w:t>
      </w:r>
      <w:r w:rsidR="0079681D" w:rsidRPr="0079681D">
        <w:rPr>
          <w:rFonts w:ascii="Times New Roman" w:hAnsi="Times New Roman" w:cs="Times New Roman"/>
          <w:sz w:val="24"/>
          <w:szCs w:val="24"/>
        </w:rPr>
        <w:t xml:space="preserve"> niedozwolone postanowieni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79681D" w:rsidRPr="0079681D">
        <w:rPr>
          <w:rFonts w:ascii="Times New Roman" w:hAnsi="Times New Roman" w:cs="Times New Roman"/>
          <w:sz w:val="24"/>
          <w:szCs w:val="24"/>
        </w:rPr>
        <w:t xml:space="preserve"> umowne, podobnie jak </w:t>
      </w:r>
      <w:r>
        <w:rPr>
          <w:rFonts w:ascii="Times New Roman" w:hAnsi="Times New Roman" w:cs="Times New Roman"/>
          <w:sz w:val="24"/>
          <w:szCs w:val="24"/>
        </w:rPr>
        <w:t>klauzule określające</w:t>
      </w:r>
      <w:r w:rsidR="0079681D" w:rsidRPr="0079681D">
        <w:rPr>
          <w:rFonts w:ascii="Times New Roman" w:hAnsi="Times New Roman" w:cs="Times New Roman"/>
          <w:sz w:val="24"/>
          <w:szCs w:val="24"/>
        </w:rPr>
        <w:t xml:space="preserve"> opłaty wyłącznie jako wartości procentowej odnoszącej się do wartości zgromadzonych środków, nie zaś do wartości rzeczywiście poniesionych kosztów (por. wyroki Sądu Apelacyjnego </w:t>
      </w:r>
      <w:r w:rsidR="000479BD">
        <w:rPr>
          <w:rFonts w:ascii="Times New Roman" w:hAnsi="Times New Roman" w:cs="Times New Roman"/>
          <w:sz w:val="24"/>
          <w:szCs w:val="24"/>
        </w:rPr>
        <w:br/>
      </w:r>
      <w:r w:rsidR="0079681D" w:rsidRPr="0079681D">
        <w:rPr>
          <w:rFonts w:ascii="Times New Roman" w:hAnsi="Times New Roman" w:cs="Times New Roman"/>
          <w:sz w:val="24"/>
          <w:szCs w:val="24"/>
        </w:rPr>
        <w:t xml:space="preserve">w Warszawie </w:t>
      </w:r>
      <w:r w:rsidR="0079681D" w:rsidRPr="0079681D">
        <w:rPr>
          <w:rFonts w:ascii="Times New Roman" w:hAnsi="Times New Roman" w:cs="Times New Roman"/>
          <w:spacing w:val="-4"/>
          <w:sz w:val="24"/>
          <w:szCs w:val="24"/>
        </w:rPr>
        <w:t>z dnia 14 maja 2010 r., VI ACa 1175/09, z dnia 26 czerwca 2012 r., IV ACa 87/12 oraz z dnia 6 września 2012 r., V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79681D" w:rsidRPr="0079681D">
        <w:rPr>
          <w:rFonts w:ascii="Times New Roman" w:hAnsi="Times New Roman" w:cs="Times New Roman"/>
          <w:spacing w:val="-4"/>
          <w:sz w:val="24"/>
          <w:szCs w:val="24"/>
        </w:rPr>
        <w:t xml:space="preserve"> ACa 458/12).</w:t>
      </w:r>
      <w:r w:rsidR="0079681D" w:rsidRPr="00796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81D" w:rsidRPr="0079681D" w:rsidRDefault="0079681D" w:rsidP="0079681D">
      <w:pPr>
        <w:autoSpaceDE w:val="0"/>
        <w:autoSpaceDN w:val="0"/>
        <w:adjustRightInd w:val="0"/>
        <w:spacing w:after="0"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604A" w:rsidRPr="0079681D" w:rsidRDefault="001E604A" w:rsidP="0079681D">
      <w:pPr>
        <w:autoSpaceDE w:val="0"/>
        <w:autoSpaceDN w:val="0"/>
        <w:adjustRightInd w:val="0"/>
        <w:spacing w:after="0" w:line="3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81D">
        <w:rPr>
          <w:rFonts w:ascii="Times New Roman" w:hAnsi="Times New Roman" w:cs="Times New Roman"/>
          <w:sz w:val="24"/>
          <w:szCs w:val="24"/>
        </w:rPr>
        <w:t>Mając na uwadze powyższe, wnoszę jak na wstępie.</w:t>
      </w:r>
    </w:p>
    <w:p w:rsidR="005358C4" w:rsidRPr="0079681D" w:rsidRDefault="005358C4" w:rsidP="0079681D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E604A" w:rsidRPr="0079681D" w:rsidRDefault="001E604A" w:rsidP="0079681D">
      <w:pPr>
        <w:autoSpaceDE w:val="0"/>
        <w:autoSpaceDN w:val="0"/>
        <w:adjustRightInd w:val="0"/>
        <w:spacing w:after="0" w:line="340" w:lineRule="exact"/>
        <w:ind w:firstLine="4820"/>
        <w:rPr>
          <w:rFonts w:ascii="Times New Roman" w:hAnsi="Times New Roman" w:cs="Times New Roman"/>
          <w:sz w:val="24"/>
          <w:szCs w:val="24"/>
        </w:rPr>
      </w:pPr>
      <w:r w:rsidRPr="0079681D">
        <w:rPr>
          <w:rFonts w:ascii="Times New Roman" w:hAnsi="Times New Roman" w:cs="Times New Roman"/>
          <w:sz w:val="24"/>
          <w:szCs w:val="24"/>
        </w:rPr>
        <w:t>Marek Kowalski</w:t>
      </w:r>
    </w:p>
    <w:p w:rsidR="00293BD2" w:rsidRPr="0079681D" w:rsidRDefault="00403C21" w:rsidP="0079681D">
      <w:pPr>
        <w:autoSpaceDE w:val="0"/>
        <w:autoSpaceDN w:val="0"/>
        <w:adjustRightInd w:val="0"/>
        <w:spacing w:after="0" w:line="340" w:lineRule="exact"/>
        <w:ind w:firstLine="439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8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604A" w:rsidRPr="007968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3BD2" w:rsidRPr="0079681D">
        <w:rPr>
          <w:rFonts w:ascii="Times New Roman" w:hAnsi="Times New Roman" w:cs="Times New Roman"/>
          <w:i/>
          <w:sz w:val="24"/>
          <w:szCs w:val="24"/>
        </w:rPr>
        <w:t>(podpis własnoręczny)</w:t>
      </w:r>
    </w:p>
    <w:p w:rsidR="00293BD2" w:rsidRPr="0079681D" w:rsidRDefault="00293BD2" w:rsidP="0079681D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93BD2" w:rsidRPr="0079681D" w:rsidRDefault="00293BD2" w:rsidP="0079681D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79681D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1E604A" w:rsidRPr="0079681D" w:rsidRDefault="002D4E5C" w:rsidP="0079681D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9681D">
        <w:rPr>
          <w:rFonts w:ascii="Times New Roman" w:hAnsi="Times New Roman" w:cs="Times New Roman"/>
          <w:sz w:val="24"/>
          <w:szCs w:val="24"/>
        </w:rPr>
        <w:t xml:space="preserve">1. </w:t>
      </w:r>
      <w:r w:rsidRPr="0079681D">
        <w:rPr>
          <w:rFonts w:ascii="Times New Roman" w:hAnsi="Times New Roman" w:cs="Times New Roman"/>
          <w:sz w:val="24"/>
          <w:szCs w:val="24"/>
        </w:rPr>
        <w:t>Ogólne warunk</w:t>
      </w:r>
      <w:r w:rsidRPr="0079681D">
        <w:rPr>
          <w:rFonts w:ascii="Times New Roman" w:hAnsi="Times New Roman" w:cs="Times New Roman"/>
          <w:sz w:val="24"/>
          <w:szCs w:val="24"/>
        </w:rPr>
        <w:t>i</w:t>
      </w:r>
      <w:r w:rsidRPr="0079681D">
        <w:rPr>
          <w:rFonts w:ascii="Times New Roman" w:hAnsi="Times New Roman" w:cs="Times New Roman"/>
          <w:sz w:val="24"/>
          <w:szCs w:val="24"/>
        </w:rPr>
        <w:t xml:space="preserve"> grupowego ubezpieczenia na życie z ubezpieczeniowym funduszem kapitałowym Bezpieczna i dostatnia przyszłość, zatwierdzon</w:t>
      </w:r>
      <w:r w:rsidRPr="0079681D">
        <w:rPr>
          <w:rFonts w:ascii="Times New Roman" w:hAnsi="Times New Roman" w:cs="Times New Roman"/>
          <w:sz w:val="24"/>
          <w:szCs w:val="24"/>
        </w:rPr>
        <w:t>e</w:t>
      </w:r>
      <w:r w:rsidRPr="0079681D">
        <w:rPr>
          <w:rFonts w:ascii="Times New Roman" w:hAnsi="Times New Roman" w:cs="Times New Roman"/>
          <w:sz w:val="24"/>
          <w:szCs w:val="24"/>
        </w:rPr>
        <w:t xml:space="preserve"> uchwałą Zarządu Towarzystwa Ubezpieczeń </w:t>
      </w:r>
      <w:r w:rsidR="008A7CBE">
        <w:rPr>
          <w:rFonts w:ascii="Times New Roman" w:hAnsi="Times New Roman" w:cs="Times New Roman"/>
          <w:sz w:val="24"/>
          <w:szCs w:val="24"/>
        </w:rPr>
        <w:t xml:space="preserve">na Życie </w:t>
      </w:r>
      <w:r w:rsidRPr="0079681D">
        <w:rPr>
          <w:rFonts w:ascii="Times New Roman" w:hAnsi="Times New Roman" w:cs="Times New Roman"/>
          <w:sz w:val="24"/>
          <w:szCs w:val="24"/>
        </w:rPr>
        <w:t>POMOC S.A. w Warszawie nr 1/2012</w:t>
      </w:r>
      <w:r w:rsidRPr="0079681D">
        <w:rPr>
          <w:rFonts w:ascii="Times New Roman" w:hAnsi="Times New Roman" w:cs="Times New Roman"/>
          <w:sz w:val="24"/>
          <w:szCs w:val="24"/>
        </w:rPr>
        <w:t xml:space="preserve">, wraz z załącznikiem </w:t>
      </w:r>
      <w:r w:rsidRPr="0079681D">
        <w:rPr>
          <w:rFonts w:ascii="Times New Roman" w:hAnsi="Times New Roman" w:cs="Times New Roman"/>
          <w:sz w:val="24"/>
          <w:szCs w:val="24"/>
        </w:rPr>
        <w:t>„Tabel</w:t>
      </w:r>
      <w:r w:rsidRPr="0079681D">
        <w:rPr>
          <w:rFonts w:ascii="Times New Roman" w:hAnsi="Times New Roman" w:cs="Times New Roman"/>
          <w:sz w:val="24"/>
          <w:szCs w:val="24"/>
        </w:rPr>
        <w:t xml:space="preserve">a opłat i </w:t>
      </w:r>
      <w:r w:rsidRPr="0079681D">
        <w:rPr>
          <w:rFonts w:ascii="Times New Roman" w:hAnsi="Times New Roman" w:cs="Times New Roman"/>
          <w:sz w:val="24"/>
          <w:szCs w:val="24"/>
        </w:rPr>
        <w:t>kosztów”</w:t>
      </w:r>
      <w:r w:rsidRPr="0079681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E604A" w:rsidRPr="0079681D" w:rsidRDefault="001E604A" w:rsidP="0079681D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79681D">
        <w:rPr>
          <w:rFonts w:ascii="Times New Roman" w:hAnsi="Times New Roman" w:cs="Times New Roman"/>
          <w:sz w:val="24"/>
          <w:szCs w:val="24"/>
        </w:rPr>
        <w:t>2. Odpis pozwu i załącznik</w:t>
      </w:r>
      <w:r w:rsidR="002D4E5C" w:rsidRPr="0079681D">
        <w:rPr>
          <w:rFonts w:ascii="Times New Roman" w:hAnsi="Times New Roman" w:cs="Times New Roman"/>
          <w:sz w:val="24"/>
          <w:szCs w:val="24"/>
        </w:rPr>
        <w:t>a</w:t>
      </w:r>
      <w:r w:rsidRPr="0079681D">
        <w:rPr>
          <w:rFonts w:ascii="Times New Roman" w:hAnsi="Times New Roman" w:cs="Times New Roman"/>
          <w:sz w:val="24"/>
          <w:szCs w:val="24"/>
        </w:rPr>
        <w:t>.</w:t>
      </w:r>
    </w:p>
    <w:sectPr w:rsidR="001E604A" w:rsidRPr="0079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FF8" w:rsidRDefault="000D0FF8" w:rsidP="0079681D">
      <w:pPr>
        <w:spacing w:after="0" w:line="240" w:lineRule="auto"/>
      </w:pPr>
      <w:r>
        <w:separator/>
      </w:r>
    </w:p>
  </w:endnote>
  <w:endnote w:type="continuationSeparator" w:id="0">
    <w:p w:rsidR="000D0FF8" w:rsidRDefault="000D0FF8" w:rsidP="0079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FF8" w:rsidRDefault="000D0FF8" w:rsidP="0079681D">
      <w:pPr>
        <w:spacing w:after="0" w:line="240" w:lineRule="auto"/>
      </w:pPr>
      <w:r>
        <w:separator/>
      </w:r>
    </w:p>
  </w:footnote>
  <w:footnote w:type="continuationSeparator" w:id="0">
    <w:p w:rsidR="000D0FF8" w:rsidRDefault="000D0FF8" w:rsidP="00796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251F4B42"/>
    <w:multiLevelType w:val="hybridMultilevel"/>
    <w:tmpl w:val="5DB08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D2"/>
    <w:rsid w:val="000479BD"/>
    <w:rsid w:val="000D0FF8"/>
    <w:rsid w:val="000F76FC"/>
    <w:rsid w:val="001C786E"/>
    <w:rsid w:val="001E604A"/>
    <w:rsid w:val="002576BF"/>
    <w:rsid w:val="002641B4"/>
    <w:rsid w:val="00293BD2"/>
    <w:rsid w:val="002D4E5C"/>
    <w:rsid w:val="002F2275"/>
    <w:rsid w:val="00362133"/>
    <w:rsid w:val="00390488"/>
    <w:rsid w:val="00403C21"/>
    <w:rsid w:val="005159C9"/>
    <w:rsid w:val="005347BE"/>
    <w:rsid w:val="005358C4"/>
    <w:rsid w:val="005E73AD"/>
    <w:rsid w:val="0062117B"/>
    <w:rsid w:val="0079681D"/>
    <w:rsid w:val="007D0C40"/>
    <w:rsid w:val="00832F6B"/>
    <w:rsid w:val="008A7CBE"/>
    <w:rsid w:val="00925976"/>
    <w:rsid w:val="00AF6320"/>
    <w:rsid w:val="00BC79C6"/>
    <w:rsid w:val="00C046A5"/>
    <w:rsid w:val="00D27FF6"/>
    <w:rsid w:val="00E3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04A"/>
    <w:pPr>
      <w:ind w:left="720"/>
      <w:contextualSpacing/>
    </w:pPr>
  </w:style>
  <w:style w:type="character" w:customStyle="1" w:styleId="Znakiprzypiswdolnych">
    <w:name w:val="Znaki przypisów dolnych"/>
    <w:rsid w:val="007968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04A"/>
    <w:pPr>
      <w:ind w:left="720"/>
      <w:contextualSpacing/>
    </w:pPr>
  </w:style>
  <w:style w:type="character" w:customStyle="1" w:styleId="Znakiprzypiswdolnych">
    <w:name w:val="Znaki przypisów dolnych"/>
    <w:rsid w:val="007968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Młynarski</dc:creator>
  <cp:lastModifiedBy>Tomasz Młynarski</cp:lastModifiedBy>
  <cp:revision>55</cp:revision>
  <dcterms:created xsi:type="dcterms:W3CDTF">2014-04-02T11:56:00Z</dcterms:created>
  <dcterms:modified xsi:type="dcterms:W3CDTF">2014-06-04T11:29:00Z</dcterms:modified>
</cp:coreProperties>
</file>